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F1" w:rsidRPr="000A6519" w:rsidRDefault="000A6519" w:rsidP="000A6519">
      <w:pPr>
        <w:snapToGrid w:val="0"/>
        <w:rPr>
          <w:rFonts w:ascii="Garamond" w:hAnsi="Garamond" w:cs="Arial"/>
          <w:b/>
          <w:bCs/>
          <w:color w:val="FF0000"/>
          <w:sz w:val="28"/>
          <w:szCs w:val="28"/>
        </w:rPr>
      </w:pPr>
      <w:r>
        <w:rPr>
          <w:rFonts w:ascii="Garamond" w:hAnsi="Garamond" w:cs="Arial"/>
          <w:b/>
          <w:bCs/>
          <w:color w:val="FF0000"/>
        </w:rPr>
        <w:tab/>
      </w:r>
      <w:r>
        <w:rPr>
          <w:rFonts w:ascii="Garamond" w:hAnsi="Garamond" w:cs="Arial"/>
          <w:b/>
          <w:bCs/>
          <w:color w:val="FF0000"/>
        </w:rPr>
        <w:tab/>
      </w:r>
      <w:r>
        <w:rPr>
          <w:rFonts w:ascii="Garamond" w:hAnsi="Garamond" w:cs="Arial"/>
          <w:b/>
          <w:bCs/>
          <w:color w:val="FF0000"/>
        </w:rPr>
        <w:tab/>
      </w:r>
      <w:r>
        <w:rPr>
          <w:rFonts w:ascii="Garamond" w:hAnsi="Garamond" w:cs="Arial"/>
          <w:b/>
          <w:bCs/>
          <w:color w:val="FF0000"/>
        </w:rPr>
        <w:tab/>
      </w:r>
      <w:r>
        <w:rPr>
          <w:rFonts w:ascii="Garamond" w:hAnsi="Garamond" w:cs="Arial"/>
          <w:b/>
          <w:bCs/>
          <w:color w:val="FF0000"/>
        </w:rPr>
        <w:tab/>
      </w:r>
      <w:r w:rsidRPr="000A6519">
        <w:rPr>
          <w:rFonts w:ascii="Garamond" w:hAnsi="Garamond" w:cs="Arial"/>
          <w:b/>
          <w:bCs/>
          <w:color w:val="000000" w:themeColor="text1"/>
          <w:sz w:val="28"/>
          <w:szCs w:val="28"/>
        </w:rPr>
        <w:t>Ordinance 2016-02</w:t>
      </w:r>
    </w:p>
    <w:p w:rsidR="00E665F1" w:rsidRPr="0041108A" w:rsidRDefault="00E665F1" w:rsidP="00E665F1">
      <w:pPr>
        <w:pStyle w:val="Title"/>
        <w:rPr>
          <w:rFonts w:ascii="Garamond" w:hAnsi="Garamond"/>
          <w:sz w:val="22"/>
          <w:szCs w:val="22"/>
        </w:rPr>
      </w:pPr>
    </w:p>
    <w:p w:rsidR="00E665F1" w:rsidRPr="0041108A" w:rsidRDefault="00E665F1" w:rsidP="00E665F1">
      <w:pPr>
        <w:pStyle w:val="Title"/>
        <w:rPr>
          <w:rFonts w:ascii="Garamond" w:hAnsi="Garamond"/>
          <w:sz w:val="22"/>
          <w:szCs w:val="22"/>
        </w:rPr>
      </w:pPr>
      <w:r w:rsidRPr="0041108A">
        <w:rPr>
          <w:rFonts w:ascii="Garamond" w:hAnsi="Garamond"/>
          <w:sz w:val="22"/>
          <w:szCs w:val="22"/>
        </w:rPr>
        <w:t>NOTICE OF ADOPTION</w:t>
      </w:r>
    </w:p>
    <w:p w:rsidR="00E665F1" w:rsidRPr="0041108A" w:rsidRDefault="00E665F1" w:rsidP="00E665F1">
      <w:pPr>
        <w:jc w:val="both"/>
        <w:rPr>
          <w:rFonts w:ascii="Garamond" w:hAnsi="Garamond" w:cs="Arial"/>
        </w:rPr>
      </w:pPr>
    </w:p>
    <w:p w:rsidR="00E665F1" w:rsidRPr="005B3988" w:rsidRDefault="00E665F1" w:rsidP="00E665F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b/>
          <w:sz w:val="24"/>
          <w:szCs w:val="24"/>
        </w:rPr>
      </w:pPr>
      <w:r w:rsidRPr="005B3988">
        <w:rPr>
          <w:rFonts w:ascii="Garamond" w:hAnsi="Garamond" w:cs="TimesNewRomanPSMT"/>
          <w:b/>
          <w:sz w:val="24"/>
          <w:szCs w:val="24"/>
        </w:rPr>
        <w:t>AN ORDINANCE ESTABLISHING COMPREHENSIVE ZONING REGULATIONS FOR THE CITY OF PIEDMONT, AND PROVIDING FOR THE ADMINISTRATION, ENFORCEMENT AND AMENDMENT THEREOF, IN ACCORDANCE WITH THE PROVISIONS OF CHAPTERS 11-4 AND 11-6, SDCL, AND FOR THE REPEAL OF ALL ORDINANCES IN CONFLICT HEREWITH.</w:t>
      </w:r>
    </w:p>
    <w:p w:rsidR="00E665F1" w:rsidRPr="007828F0" w:rsidRDefault="00E665F1" w:rsidP="00E665F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sz w:val="24"/>
          <w:szCs w:val="24"/>
        </w:rPr>
      </w:pPr>
    </w:p>
    <w:p w:rsidR="00E665F1" w:rsidRPr="0041108A" w:rsidRDefault="00E665F1" w:rsidP="00E665F1">
      <w:pPr>
        <w:jc w:val="both"/>
        <w:rPr>
          <w:rFonts w:ascii="Garamond" w:hAnsi="Garamond" w:cs="Arial"/>
        </w:rPr>
      </w:pPr>
      <w:r w:rsidRPr="0041108A">
        <w:rPr>
          <w:rFonts w:ascii="Garamond" w:hAnsi="Garamond" w:cs="Arial"/>
        </w:rPr>
        <w:t xml:space="preserve">Notice is hereby given that </w:t>
      </w:r>
      <w:r>
        <w:rPr>
          <w:rFonts w:ascii="Garamond" w:hAnsi="Garamond" w:cs="Arial"/>
        </w:rPr>
        <w:t xml:space="preserve">an ordinance establishing comprehensive zoning regulations for the City of Piedmont, South Dakota </w:t>
      </w:r>
      <w:r w:rsidRPr="0041108A">
        <w:rPr>
          <w:rFonts w:ascii="Garamond" w:hAnsi="Garamond" w:cs="Arial"/>
        </w:rPr>
        <w:t xml:space="preserve">and providing for the administration, enforcement, and amendment thereof, in accordance with the provisions of </w:t>
      </w:r>
      <w:r>
        <w:rPr>
          <w:rFonts w:ascii="Garamond" w:hAnsi="Garamond" w:cs="Arial"/>
        </w:rPr>
        <w:t>Chapters 11-4 and 11-6, SDCL, and for the repeal of all ordinances in conflict herewith</w:t>
      </w:r>
      <w:r w:rsidRPr="0041108A">
        <w:rPr>
          <w:rFonts w:ascii="Garamond" w:hAnsi="Garamond" w:cs="Arial"/>
        </w:rPr>
        <w:t xml:space="preserve">, was adopted by the Board of </w:t>
      </w:r>
      <w:r>
        <w:rPr>
          <w:rFonts w:ascii="Garamond" w:hAnsi="Garamond" w:cs="Arial"/>
        </w:rPr>
        <w:t>Trustees</w:t>
      </w:r>
      <w:r w:rsidRPr="0041108A">
        <w:rPr>
          <w:rFonts w:ascii="Garamond" w:hAnsi="Garamond" w:cs="Arial"/>
        </w:rPr>
        <w:t xml:space="preserve"> </w:t>
      </w:r>
      <w:r w:rsidR="000A6519" w:rsidRPr="000A6519">
        <w:rPr>
          <w:rFonts w:ascii="Garamond" w:hAnsi="Garamond" w:cs="Arial"/>
        </w:rPr>
        <w:t>March 15, 2016</w:t>
      </w:r>
      <w:r w:rsidR="000A6519">
        <w:rPr>
          <w:rFonts w:ascii="Garamond" w:hAnsi="Garamond" w:cs="Arial"/>
        </w:rPr>
        <w:t xml:space="preserve"> and will become effective on April 18, 2016</w:t>
      </w:r>
      <w:r w:rsidRPr="0041108A">
        <w:rPr>
          <w:rFonts w:ascii="Garamond" w:hAnsi="Garamond" w:cs="Arial"/>
        </w:rPr>
        <w:t>.</w:t>
      </w:r>
    </w:p>
    <w:p w:rsidR="00E665F1" w:rsidRPr="0041108A" w:rsidRDefault="00E665F1" w:rsidP="00E665F1">
      <w:pPr>
        <w:jc w:val="both"/>
        <w:rPr>
          <w:rFonts w:ascii="Garamond" w:hAnsi="Garamond" w:cs="Arial"/>
        </w:rPr>
      </w:pPr>
      <w:r w:rsidRPr="0041108A">
        <w:rPr>
          <w:rFonts w:ascii="Garamond" w:hAnsi="Garamond" w:cs="Arial"/>
        </w:rPr>
        <w:t>The following is a summary of the Zoning Ordinance:</w:t>
      </w:r>
    </w:p>
    <w:p w:rsidR="00E665F1" w:rsidRPr="0041108A" w:rsidRDefault="00E665F1" w:rsidP="00E665F1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Section 17.01 Authority</w:t>
      </w:r>
    </w:p>
    <w:p w:rsidR="00E665F1" w:rsidRPr="0041108A" w:rsidRDefault="00E665F1" w:rsidP="00E665F1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Section 17.02 Short Title</w:t>
      </w:r>
    </w:p>
    <w:p w:rsidR="00E665F1" w:rsidRPr="0041108A" w:rsidRDefault="00E665F1" w:rsidP="00E665F1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Section 17.03 Purpose of the Ordinance</w:t>
      </w:r>
    </w:p>
    <w:p w:rsidR="00E665F1" w:rsidRDefault="00E665F1" w:rsidP="00E665F1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Section 17.04 Jurisdiction</w:t>
      </w:r>
    </w:p>
    <w:p w:rsidR="00E665F1" w:rsidRDefault="00E665F1" w:rsidP="00E665F1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Section 17.05 Administration and Enforcement</w:t>
      </w:r>
    </w:p>
    <w:p w:rsidR="00E665F1" w:rsidRDefault="00E665F1" w:rsidP="00E665F1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Section 17.06 Zoning Districts and Regulations</w:t>
      </w:r>
    </w:p>
    <w:p w:rsidR="00E665F1" w:rsidRDefault="00E665F1" w:rsidP="00E665F1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Section 17.07 Nonconforming Uses and Development</w:t>
      </w:r>
    </w:p>
    <w:p w:rsidR="00E665F1" w:rsidRDefault="00E665F1" w:rsidP="00E665F1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Section 17.08 Fees</w:t>
      </w:r>
    </w:p>
    <w:p w:rsidR="00E665F1" w:rsidRDefault="00E665F1" w:rsidP="00E665F1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Section 17.09 Court Review of Board of Trustees Decisions </w:t>
      </w:r>
    </w:p>
    <w:p w:rsidR="00E665F1" w:rsidRDefault="00E665F1" w:rsidP="00E665F1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Section 17.10 Complaints Regarding Violations</w:t>
      </w:r>
    </w:p>
    <w:p w:rsidR="00E665F1" w:rsidRDefault="00E665F1" w:rsidP="00E665F1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Section 17.11 Penalties</w:t>
      </w:r>
    </w:p>
    <w:p w:rsidR="00E665F1" w:rsidRDefault="00E665F1" w:rsidP="00E665F1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Section 17.12 Validity</w:t>
      </w:r>
    </w:p>
    <w:p w:rsidR="00E665F1" w:rsidRDefault="00E665F1" w:rsidP="00E665F1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Section 17.13 Conflict with Public and Private Provisions</w:t>
      </w:r>
    </w:p>
    <w:p w:rsidR="00E665F1" w:rsidRDefault="00E665F1" w:rsidP="00E665F1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Section 17.14 Reference to Revised Ordinance</w:t>
      </w:r>
    </w:p>
    <w:p w:rsidR="00E665F1" w:rsidRDefault="00E665F1" w:rsidP="00E665F1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Section 17.15 Future Amendments</w:t>
      </w:r>
    </w:p>
    <w:p w:rsidR="00E665F1" w:rsidRDefault="00E665F1" w:rsidP="00E665F1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Section 17.16 Ordinance Language and Definitions</w:t>
      </w:r>
    </w:p>
    <w:p w:rsidR="00E665F1" w:rsidRPr="0041108A" w:rsidRDefault="00E665F1" w:rsidP="00E665F1">
      <w:pPr>
        <w:jc w:val="both"/>
        <w:rPr>
          <w:rFonts w:ascii="Garamond" w:hAnsi="Garamond" w:cs="Arial"/>
        </w:rPr>
      </w:pPr>
      <w:r w:rsidRPr="0041108A">
        <w:rPr>
          <w:rFonts w:ascii="Garamond" w:hAnsi="Garamond" w:cs="Arial"/>
        </w:rPr>
        <w:lastRenderedPageBreak/>
        <w:t xml:space="preserve">NOTICE IS FURTHER GIVEN that the document entitled </w:t>
      </w:r>
      <w:r w:rsidRPr="00B0367A">
        <w:rPr>
          <w:rFonts w:ascii="Garamond" w:hAnsi="Garamond" w:cs="Arial"/>
          <w:u w:val="single"/>
        </w:rPr>
        <w:t>Piedmont</w:t>
      </w:r>
      <w:r>
        <w:rPr>
          <w:rFonts w:ascii="Garamond" w:hAnsi="Garamond" w:cs="Arial"/>
          <w:u w:val="single"/>
        </w:rPr>
        <w:t xml:space="preserve"> Zoning Ordinance</w:t>
      </w:r>
      <w:r w:rsidRPr="0041108A">
        <w:rPr>
          <w:rFonts w:ascii="Garamond" w:hAnsi="Garamond" w:cs="Arial"/>
        </w:rPr>
        <w:t xml:space="preserve"> and the </w:t>
      </w:r>
      <w:r w:rsidRPr="004F1E01">
        <w:rPr>
          <w:rFonts w:ascii="Garamond" w:hAnsi="Garamond" w:cs="Arial"/>
          <w:u w:val="single"/>
        </w:rPr>
        <w:t>Official Zoning Map</w:t>
      </w:r>
      <w:r>
        <w:rPr>
          <w:rFonts w:ascii="Garamond" w:hAnsi="Garamond" w:cs="Arial"/>
          <w:u w:val="single"/>
        </w:rPr>
        <w:t xml:space="preserve"> of Piedmont, South Dakota</w:t>
      </w:r>
      <w:r w:rsidRPr="00B0367A">
        <w:rPr>
          <w:rFonts w:ascii="Garamond" w:hAnsi="Garamond" w:cs="Arial"/>
        </w:rPr>
        <w:t xml:space="preserve"> </w:t>
      </w:r>
      <w:r w:rsidRPr="0041108A">
        <w:rPr>
          <w:rFonts w:ascii="Garamond" w:hAnsi="Garamond" w:cs="Arial"/>
        </w:rPr>
        <w:t xml:space="preserve">is available for public inspection at the </w:t>
      </w:r>
      <w:r w:rsidRPr="0041108A">
        <w:rPr>
          <w:rFonts w:ascii="Garamond" w:hAnsi="Garamond"/>
        </w:rPr>
        <w:t xml:space="preserve">Office of the </w:t>
      </w:r>
      <w:r>
        <w:rPr>
          <w:rFonts w:ascii="Garamond" w:hAnsi="Garamond"/>
        </w:rPr>
        <w:t>Piedmont Finance Officer</w:t>
      </w:r>
      <w:r w:rsidRPr="0041108A">
        <w:rPr>
          <w:rFonts w:ascii="Garamond" w:hAnsi="Garamond"/>
        </w:rPr>
        <w:t xml:space="preserve">, </w:t>
      </w:r>
      <w:r>
        <w:rPr>
          <w:rFonts w:ascii="Garamond" w:hAnsi="Garamond"/>
        </w:rPr>
        <w:t>Piedmont City Hall</w:t>
      </w:r>
      <w:r w:rsidRPr="0041108A">
        <w:rPr>
          <w:rFonts w:ascii="Garamond" w:hAnsi="Garamond"/>
        </w:rPr>
        <w:t xml:space="preserve">, </w:t>
      </w:r>
      <w:r>
        <w:rPr>
          <w:rFonts w:ascii="Garamond" w:hAnsi="Garamond"/>
        </w:rPr>
        <w:t>111 Second</w:t>
      </w:r>
      <w:r w:rsidRPr="0041108A">
        <w:rPr>
          <w:rFonts w:ascii="Garamond" w:hAnsi="Garamond"/>
        </w:rPr>
        <w:t xml:space="preserve"> Street, </w:t>
      </w:r>
      <w:r>
        <w:rPr>
          <w:rFonts w:ascii="Garamond" w:hAnsi="Garamond"/>
        </w:rPr>
        <w:t>Piedmont</w:t>
      </w:r>
      <w:r w:rsidRPr="0041108A">
        <w:rPr>
          <w:rFonts w:ascii="Garamond" w:hAnsi="Garamond"/>
        </w:rPr>
        <w:t>, South Dakota</w:t>
      </w:r>
      <w:r w:rsidRPr="0041108A">
        <w:rPr>
          <w:rFonts w:ascii="Garamond" w:hAnsi="Garamond" w:cs="Arial"/>
        </w:rPr>
        <w:t xml:space="preserve">, during normal business hours. This Ordinance shall become effective </w:t>
      </w:r>
      <w:r w:rsidR="000A6519">
        <w:rPr>
          <w:rFonts w:ascii="Garamond" w:hAnsi="Garamond" w:cs="Arial"/>
        </w:rPr>
        <w:t>April 18, 2016</w:t>
      </w:r>
    </w:p>
    <w:p w:rsidR="00E665F1" w:rsidRPr="0041108A" w:rsidRDefault="00E665F1" w:rsidP="00E665F1">
      <w:pPr>
        <w:pStyle w:val="Title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41108A">
        <w:rPr>
          <w:rFonts w:ascii="Garamond" w:hAnsi="Garamond"/>
          <w:b w:val="0"/>
          <w:bCs w:val="0"/>
          <w:sz w:val="22"/>
          <w:szCs w:val="22"/>
        </w:rPr>
        <w:t xml:space="preserve">Dated </w:t>
      </w:r>
      <w:r w:rsidR="000A6519">
        <w:rPr>
          <w:rFonts w:ascii="Garamond" w:hAnsi="Garamond"/>
          <w:b w:val="0"/>
          <w:bCs w:val="0"/>
          <w:sz w:val="22"/>
          <w:szCs w:val="22"/>
        </w:rPr>
        <w:t>March 15, 2016</w:t>
      </w:r>
    </w:p>
    <w:p w:rsidR="00E665F1" w:rsidRPr="0041108A" w:rsidRDefault="00E665F1" w:rsidP="00E665F1">
      <w:pPr>
        <w:jc w:val="both"/>
        <w:rPr>
          <w:rFonts w:ascii="Garamond" w:hAnsi="Garamond" w:cs="Arial"/>
        </w:rPr>
      </w:pPr>
    </w:p>
    <w:p w:rsidR="00E665F1" w:rsidRPr="0041108A" w:rsidRDefault="000A6519" w:rsidP="00E665F1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Diana L. Evans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           </w:t>
      </w:r>
      <w:r w:rsidR="00E665F1">
        <w:rPr>
          <w:rFonts w:ascii="Garamond" w:hAnsi="Garamond" w:cs="Arial"/>
        </w:rPr>
        <w:t>Finance Officer</w:t>
      </w:r>
    </w:p>
    <w:p w:rsidR="0014594E" w:rsidRDefault="0014594E"/>
    <w:p w:rsidR="00244126" w:rsidRDefault="00244126"/>
    <w:p w:rsidR="00244126" w:rsidRDefault="00244126">
      <w:r>
        <w:t>Publish twice at the approximate cost of $____________________</w:t>
      </w:r>
      <w:bookmarkStart w:id="0" w:name="_GoBack"/>
      <w:bookmarkEnd w:id="0"/>
    </w:p>
    <w:sectPr w:rsidR="00244126" w:rsidSect="00145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F1"/>
    <w:rsid w:val="000A6519"/>
    <w:rsid w:val="0014594E"/>
    <w:rsid w:val="00244126"/>
    <w:rsid w:val="00E6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4D206-8E59-4902-8472-1F81AF2B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665F1"/>
    <w:pPr>
      <w:spacing w:after="0" w:line="240" w:lineRule="auto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665F1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BHSSC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ademersseman</dc:creator>
  <cp:lastModifiedBy>Diana Evans</cp:lastModifiedBy>
  <cp:revision>3</cp:revision>
  <dcterms:created xsi:type="dcterms:W3CDTF">2016-03-15T16:29:00Z</dcterms:created>
  <dcterms:modified xsi:type="dcterms:W3CDTF">2016-03-15T16:34:00Z</dcterms:modified>
</cp:coreProperties>
</file>