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E6D7F">
        <w:rPr>
          <w:rFonts w:ascii="Tahoma" w:hAnsi="Tahoma" w:cs="Tahoma"/>
          <w:sz w:val="20"/>
          <w:szCs w:val="20"/>
        </w:rPr>
        <w:t>January 20</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68182B" w:rsidRPr="009E6D7F" w:rsidRDefault="0068182B" w:rsidP="0068182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9E6D7F">
        <w:rPr>
          <w:rFonts w:ascii="Tahoma" w:hAnsi="Tahoma" w:cs="Tahoma"/>
          <w:sz w:val="20"/>
          <w:szCs w:val="20"/>
        </w:rPr>
        <w:t xml:space="preserve">om Regular Meeting on January </w:t>
      </w:r>
      <w:r>
        <w:rPr>
          <w:rFonts w:ascii="Tahoma" w:hAnsi="Tahoma" w:cs="Tahoma"/>
          <w:sz w:val="20"/>
          <w:szCs w:val="20"/>
        </w:rPr>
        <w:t>6, 2014</w:t>
      </w:r>
    </w:p>
    <w:p w:rsidR="009E6D7F" w:rsidRPr="009E6D7F" w:rsidRDefault="009E6D7F" w:rsidP="009E6D7F">
      <w:pPr>
        <w:pStyle w:val="ListParagraph"/>
        <w:spacing w:line="240" w:lineRule="auto"/>
        <w:ind w:left="990"/>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Special Meeting on January 7, 2014</w:t>
      </w: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9E6D7F" w:rsidRDefault="009E6D7F" w:rsidP="00A9152E">
      <w:pPr>
        <w:pStyle w:val="ListParagraph"/>
        <w:numPr>
          <w:ilvl w:val="1"/>
          <w:numId w:val="1"/>
        </w:numPr>
        <w:rPr>
          <w:rFonts w:ascii="Tahoma" w:hAnsi="Tahoma" w:cs="Tahoma"/>
          <w:sz w:val="20"/>
          <w:szCs w:val="20"/>
        </w:rPr>
      </w:pPr>
      <w:r>
        <w:rPr>
          <w:rFonts w:ascii="Tahoma" w:hAnsi="Tahoma" w:cs="Tahoma"/>
          <w:sz w:val="20"/>
          <w:szCs w:val="20"/>
        </w:rPr>
        <w:t>Discuss/Decide Salary Adjustments &amp; Job descriptions</w:t>
      </w:r>
    </w:p>
    <w:p w:rsidR="0068182B" w:rsidRPr="009C2E99" w:rsidRDefault="0068182B" w:rsidP="00A9152E">
      <w:pPr>
        <w:pStyle w:val="ListParagraph"/>
        <w:numPr>
          <w:ilvl w:val="1"/>
          <w:numId w:val="1"/>
        </w:numPr>
        <w:rPr>
          <w:rFonts w:ascii="Tahoma" w:hAnsi="Tahoma" w:cs="Tahoma"/>
          <w:sz w:val="20"/>
          <w:szCs w:val="20"/>
        </w:rPr>
      </w:pPr>
      <w:r w:rsidRPr="009C2E99">
        <w:rPr>
          <w:rFonts w:ascii="Tahoma" w:hAnsi="Tahoma" w:cs="Tahoma"/>
          <w:sz w:val="20"/>
          <w:szCs w:val="20"/>
        </w:rPr>
        <w:t xml:space="preserve">Supplement Playground Fundraising Match from Contingency </w:t>
      </w:r>
    </w:p>
    <w:p w:rsidR="00335E11" w:rsidRDefault="00335E11" w:rsidP="00335E1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E6D7F" w:rsidRPr="009E6D7F" w:rsidRDefault="009E6D7F" w:rsidP="009E6D7F">
      <w:pPr>
        <w:pStyle w:val="ListParagraph"/>
        <w:numPr>
          <w:ilvl w:val="1"/>
          <w:numId w:val="1"/>
        </w:numPr>
        <w:rPr>
          <w:rFonts w:ascii="Tahoma" w:hAnsi="Tahoma" w:cs="Tahoma"/>
          <w:sz w:val="20"/>
          <w:szCs w:val="20"/>
        </w:rPr>
      </w:pPr>
      <w:r w:rsidRPr="009E6D7F">
        <w:rPr>
          <w:rFonts w:ascii="Tahoma" w:hAnsi="Tahoma" w:cs="Tahoma"/>
          <w:sz w:val="20"/>
          <w:szCs w:val="20"/>
        </w:rPr>
        <w:t>Swear in Gary Reynolds to Library Board</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9E6D7F" w:rsidRDefault="009E6D7F" w:rsidP="00A9152E">
      <w:pPr>
        <w:pStyle w:val="ListParagraph"/>
        <w:numPr>
          <w:ilvl w:val="1"/>
          <w:numId w:val="1"/>
        </w:numPr>
        <w:rPr>
          <w:rFonts w:ascii="Tahoma" w:hAnsi="Tahoma" w:cs="Tahoma"/>
          <w:sz w:val="20"/>
          <w:szCs w:val="20"/>
        </w:rPr>
      </w:pPr>
      <w:r>
        <w:rPr>
          <w:rFonts w:ascii="Tahoma" w:hAnsi="Tahoma" w:cs="Tahoma"/>
          <w:sz w:val="20"/>
          <w:szCs w:val="20"/>
        </w:rPr>
        <w:t>Discuss/Decide Budget changes</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Pr="003165B1"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165B1" w:rsidRDefault="003165B1" w:rsidP="003165B1">
      <w:pPr>
        <w:pStyle w:val="ListParagraph"/>
        <w:numPr>
          <w:ilvl w:val="1"/>
          <w:numId w:val="1"/>
        </w:numPr>
        <w:rPr>
          <w:rFonts w:ascii="Tahoma" w:hAnsi="Tahoma" w:cs="Tahoma"/>
          <w:b/>
          <w:sz w:val="20"/>
          <w:szCs w:val="20"/>
        </w:rPr>
      </w:pPr>
      <w:r>
        <w:rPr>
          <w:rFonts w:ascii="Tahoma" w:hAnsi="Tahoma" w:cs="Tahoma"/>
          <w:sz w:val="20"/>
          <w:szCs w:val="20"/>
        </w:rPr>
        <w:t>Report</w:t>
      </w:r>
    </w:p>
    <w:p w:rsidR="001657FF" w:rsidRP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Discussion/Decision about Building Inspector</w:t>
      </w:r>
    </w:p>
    <w:p w:rsidR="003564D6" w:rsidRPr="009E6D7F"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9E6D7F" w:rsidRPr="0068182B" w:rsidRDefault="009E6D7F" w:rsidP="009E6D7F">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9C2E99"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9C2E99" w:rsidRPr="005D1D85" w:rsidRDefault="009C2E99" w:rsidP="00A9152E">
      <w:pPr>
        <w:pStyle w:val="ListParagraph"/>
        <w:numPr>
          <w:ilvl w:val="1"/>
          <w:numId w:val="1"/>
        </w:numPr>
        <w:rPr>
          <w:rFonts w:ascii="Tahoma" w:hAnsi="Tahoma" w:cs="Tahoma"/>
          <w:b/>
          <w:sz w:val="20"/>
          <w:szCs w:val="20"/>
        </w:rPr>
      </w:pPr>
      <w:r>
        <w:rPr>
          <w:rFonts w:ascii="Tahoma" w:hAnsi="Tahoma" w:cs="Tahoma"/>
          <w:sz w:val="20"/>
          <w:szCs w:val="20"/>
        </w:rPr>
        <w:t xml:space="preserve">Discuss/Decide on Street Paving Agreement with Indian Hills for Mohawk &amp; Navajo </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1657FF"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F3D9D" w:rsidRDefault="00EF3D9D" w:rsidP="00EF3D9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FC2947" w:rsidRDefault="00FC2947" w:rsidP="00FC2947">
      <w:pPr>
        <w:pStyle w:val="ListParagraph"/>
        <w:numPr>
          <w:ilvl w:val="1"/>
          <w:numId w:val="1"/>
        </w:numPr>
        <w:rPr>
          <w:rFonts w:ascii="Tahoma" w:hAnsi="Tahoma" w:cs="Tahoma"/>
          <w:b/>
          <w:sz w:val="20"/>
          <w:szCs w:val="20"/>
        </w:rPr>
      </w:pPr>
      <w:r>
        <w:rPr>
          <w:rFonts w:ascii="Tahoma" w:hAnsi="Tahoma" w:cs="Tahoma"/>
          <w:sz w:val="20"/>
          <w:szCs w:val="20"/>
        </w:rPr>
        <w:t>Review Task Orders</w:t>
      </w:r>
    </w:p>
    <w:p w:rsidR="002518B1" w:rsidRPr="003165B1" w:rsidRDefault="008C3E2B" w:rsidP="003165B1">
      <w:pPr>
        <w:pStyle w:val="ListParagraph"/>
        <w:numPr>
          <w:ilvl w:val="1"/>
          <w:numId w:val="1"/>
        </w:numPr>
        <w:rPr>
          <w:rFonts w:ascii="Tahoma" w:hAnsi="Tahoma" w:cs="Tahoma"/>
          <w:b/>
          <w:sz w:val="20"/>
          <w:szCs w:val="20"/>
        </w:rPr>
      </w:pPr>
      <w:r>
        <w:rPr>
          <w:rFonts w:ascii="Tahoma" w:hAnsi="Tahoma" w:cs="Tahoma"/>
          <w:sz w:val="20"/>
          <w:szCs w:val="20"/>
        </w:rPr>
        <w:t>Discuss/Decide</w:t>
      </w:r>
      <w:r w:rsidR="003165B1">
        <w:rPr>
          <w:rFonts w:ascii="Tahoma" w:hAnsi="Tahoma" w:cs="Tahoma"/>
          <w:sz w:val="20"/>
          <w:szCs w:val="20"/>
        </w:rPr>
        <w:t xml:space="preserve"> Joint Powers Maintenance Agreement </w:t>
      </w:r>
    </w:p>
    <w:p w:rsidR="003165B1" w:rsidRPr="00911467" w:rsidRDefault="00911467" w:rsidP="003165B1">
      <w:pPr>
        <w:pStyle w:val="ListParagraph"/>
        <w:numPr>
          <w:ilvl w:val="1"/>
          <w:numId w:val="1"/>
        </w:numPr>
        <w:rPr>
          <w:rFonts w:ascii="Tahoma" w:hAnsi="Tahoma" w:cs="Tahoma"/>
          <w:b/>
          <w:sz w:val="20"/>
          <w:szCs w:val="20"/>
        </w:rPr>
      </w:pPr>
      <w:r>
        <w:rPr>
          <w:rFonts w:ascii="Tahoma" w:hAnsi="Tahoma" w:cs="Tahoma"/>
          <w:sz w:val="20"/>
          <w:szCs w:val="20"/>
        </w:rPr>
        <w:t>Discuss TIF Possibilities</w:t>
      </w:r>
    </w:p>
    <w:p w:rsidR="00911467" w:rsidRDefault="00911467" w:rsidP="00911467">
      <w:pPr>
        <w:pStyle w:val="ListParagraph"/>
        <w:ind w:left="1620"/>
        <w:rPr>
          <w:rFonts w:ascii="Tahoma" w:hAnsi="Tahoma" w:cs="Tahoma"/>
          <w:b/>
          <w:sz w:val="20"/>
          <w:szCs w:val="20"/>
        </w:rPr>
      </w:pPr>
    </w:p>
    <w:p w:rsidR="009E6D7F" w:rsidRPr="00875F42" w:rsidRDefault="009E6D7F" w:rsidP="00911467">
      <w:pPr>
        <w:pStyle w:val="ListParagraph"/>
        <w:ind w:left="1620"/>
        <w:rPr>
          <w:rFonts w:ascii="Tahoma" w:hAnsi="Tahoma" w:cs="Tahoma"/>
          <w:b/>
          <w:sz w:val="20"/>
          <w:szCs w:val="20"/>
        </w:rPr>
      </w:pPr>
    </w:p>
    <w:p w:rsidR="00A55764" w:rsidRDefault="006C5DD0" w:rsidP="00A9152E">
      <w:pPr>
        <w:pStyle w:val="ListParagraph"/>
        <w:numPr>
          <w:ilvl w:val="0"/>
          <w:numId w:val="1"/>
        </w:numPr>
        <w:rPr>
          <w:rFonts w:ascii="Tahoma" w:hAnsi="Tahoma" w:cs="Tahoma"/>
          <w:b/>
          <w:sz w:val="20"/>
          <w:szCs w:val="20"/>
        </w:rPr>
      </w:pPr>
      <w:r>
        <w:rPr>
          <w:rFonts w:ascii="Tahoma" w:hAnsi="Tahoma" w:cs="Tahoma"/>
          <w:b/>
          <w:sz w:val="20"/>
          <w:szCs w:val="20"/>
        </w:rPr>
        <w:t>New Business</w:t>
      </w:r>
    </w:p>
    <w:p w:rsidR="00EF3D9D" w:rsidRPr="009E6D7F" w:rsidRDefault="00EF3D9D" w:rsidP="00EF3D9D">
      <w:pPr>
        <w:pStyle w:val="ListParagraph"/>
        <w:numPr>
          <w:ilvl w:val="1"/>
          <w:numId w:val="1"/>
        </w:numPr>
        <w:rPr>
          <w:rFonts w:ascii="Tahoma" w:hAnsi="Tahoma" w:cs="Tahoma"/>
          <w:b/>
          <w:sz w:val="20"/>
          <w:szCs w:val="20"/>
        </w:rPr>
      </w:pPr>
      <w:r>
        <w:rPr>
          <w:rFonts w:ascii="Tahoma" w:hAnsi="Tahoma" w:cs="Tahoma"/>
          <w:sz w:val="20"/>
          <w:szCs w:val="20"/>
        </w:rPr>
        <w:t xml:space="preserve">Settlement Agreement with </w:t>
      </w:r>
      <w:proofErr w:type="spellStart"/>
      <w:r>
        <w:rPr>
          <w:rFonts w:ascii="Tahoma" w:hAnsi="Tahoma" w:cs="Tahoma"/>
          <w:sz w:val="20"/>
          <w:szCs w:val="20"/>
        </w:rPr>
        <w:t>CenturyLink</w:t>
      </w:r>
      <w:proofErr w:type="spellEnd"/>
    </w:p>
    <w:p w:rsidR="009E6D7F" w:rsidRDefault="009E6D7F" w:rsidP="009E6D7F">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816566" w:rsidRDefault="00816566"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CB" w:rsidRDefault="00CD4DCB" w:rsidP="00B2249E">
      <w:pPr>
        <w:spacing w:after="0" w:line="240" w:lineRule="auto"/>
      </w:pPr>
      <w:r>
        <w:separator/>
      </w:r>
    </w:p>
  </w:endnote>
  <w:endnote w:type="continuationSeparator" w:id="0">
    <w:p w:rsidR="00CD4DCB" w:rsidRDefault="00CD4DCB"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CB" w:rsidRDefault="00CD4DCB" w:rsidP="00B2249E">
      <w:pPr>
        <w:spacing w:after="0" w:line="240" w:lineRule="auto"/>
      </w:pPr>
      <w:r>
        <w:separator/>
      </w:r>
    </w:p>
  </w:footnote>
  <w:footnote w:type="continuationSeparator" w:id="0">
    <w:p w:rsidR="00CD4DCB" w:rsidRDefault="00CD4DCB"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AF"/>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BEC"/>
    <w:rsid w:val="009D7E4B"/>
    <w:rsid w:val="009E2F9B"/>
    <w:rsid w:val="009E3415"/>
    <w:rsid w:val="009E57B2"/>
    <w:rsid w:val="009E6D7F"/>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100F"/>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59BA-D097-482C-886F-4608FB06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2015-01-19T18:16:00Z</cp:lastPrinted>
  <dcterms:created xsi:type="dcterms:W3CDTF">2015-01-15T19:24:00Z</dcterms:created>
  <dcterms:modified xsi:type="dcterms:W3CDTF">2015-01-19T18:16:00Z</dcterms:modified>
</cp:coreProperties>
</file>